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34C59" w14:textId="0235EEE7" w:rsidR="001914C1" w:rsidRPr="00357CDE" w:rsidRDefault="001914C1" w:rsidP="001914C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#119bis</w:t>
      </w:r>
      <w:r w:rsidR="00703F67">
        <w:rPr>
          <w:rFonts w:cs="Arial"/>
          <w:b/>
          <w:sz w:val="24"/>
          <w:szCs w:val="24"/>
        </w:rPr>
        <w:t>-e</w:t>
      </w:r>
      <w:r w:rsidRPr="007D3E81">
        <w:rPr>
          <w:rFonts w:cs="Arial"/>
          <w:b/>
          <w:sz w:val="24"/>
          <w:szCs w:val="24"/>
        </w:rPr>
        <w:tab/>
      </w:r>
      <w:r w:rsidR="00703F67" w:rsidRPr="00703F67">
        <w:rPr>
          <w:rFonts w:cs="Arial"/>
          <w:b/>
          <w:sz w:val="24"/>
          <w:szCs w:val="24"/>
        </w:rPr>
        <w:t>R3-231519</w:t>
      </w:r>
    </w:p>
    <w:p w14:paraId="63A4B218" w14:textId="51B9C538" w:rsidR="001914C1" w:rsidRPr="00FF1248" w:rsidRDefault="00703F67" w:rsidP="001914C1">
      <w:pPr>
        <w:pStyle w:val="CRCoverPage"/>
        <w:outlineLvl w:val="0"/>
        <w:rPr>
          <w:b/>
          <w:noProof/>
          <w:sz w:val="24"/>
        </w:rPr>
      </w:pPr>
      <w:r>
        <w:rPr>
          <w:b/>
          <w:noProof/>
          <w:sz w:val="24"/>
        </w:rPr>
        <w:t>Online</w:t>
      </w:r>
      <w:r w:rsidR="001914C1">
        <w:rPr>
          <w:b/>
          <w:noProof/>
          <w:sz w:val="24"/>
        </w:rPr>
        <w:t>, 17 April - 26 April 2023</w:t>
      </w:r>
    </w:p>
    <w:p w14:paraId="0717E73E" w14:textId="77777777" w:rsidR="00CD4C7B" w:rsidRPr="001914C1" w:rsidRDefault="00CD4C7B" w:rsidP="00CD4C7B">
      <w:pPr>
        <w:pStyle w:val="a3"/>
        <w:rPr>
          <w:bCs/>
          <w:noProof w:val="0"/>
          <w:sz w:val="24"/>
        </w:rPr>
      </w:pPr>
    </w:p>
    <w:p w14:paraId="3B0EF5F6" w14:textId="67EADA8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D269F">
        <w:rPr>
          <w:rFonts w:cs="Arial"/>
          <w:b/>
          <w:bCs/>
          <w:sz w:val="24"/>
          <w:lang w:val="en-US" w:eastAsia="ja-JP"/>
        </w:rPr>
        <w:t>11</w:t>
      </w:r>
      <w:r w:rsidR="00342065">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22F883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427AC7">
        <w:rPr>
          <w:rFonts w:ascii="Arial" w:hAnsi="Arial" w:cs="Arial"/>
          <w:b/>
          <w:bCs/>
          <w:sz w:val="24"/>
        </w:rPr>
        <w:t>Q</w:t>
      </w:r>
      <w:r w:rsidR="001A6D34">
        <w:rPr>
          <w:rFonts w:ascii="Arial" w:hAnsi="Arial" w:cs="Arial"/>
          <w:b/>
          <w:bCs/>
          <w:sz w:val="24"/>
        </w:rPr>
        <w:t>oE</w:t>
      </w:r>
      <w:proofErr w:type="spellEnd"/>
      <w:r w:rsidR="00427AC7">
        <w:rPr>
          <w:rFonts w:ascii="Arial" w:hAnsi="Arial" w:cs="Arial"/>
          <w:b/>
          <w:bCs/>
          <w:sz w:val="24"/>
        </w:rPr>
        <w:t xml:space="preserve"> in </w:t>
      </w:r>
      <w:r w:rsidR="006D269F">
        <w:rPr>
          <w:rFonts w:ascii="Arial" w:hAnsi="Arial" w:cs="Arial" w:hint="eastAsia"/>
          <w:b/>
          <w:bCs/>
          <w:sz w:val="24"/>
          <w:lang w:eastAsia="zh-CN"/>
        </w:rPr>
        <w:t>high</w:t>
      </w:r>
      <w:r w:rsidR="006D269F">
        <w:rPr>
          <w:rFonts w:ascii="Arial" w:hAnsi="Arial" w:cs="Arial"/>
          <w:b/>
          <w:bCs/>
          <w:sz w:val="24"/>
        </w:rPr>
        <w:t xml:space="preserve"> </w:t>
      </w:r>
      <w:r w:rsidR="006D269F">
        <w:rPr>
          <w:rFonts w:ascii="Arial" w:hAnsi="Arial" w:cs="Arial" w:hint="eastAsia"/>
          <w:b/>
          <w:bCs/>
          <w:sz w:val="24"/>
          <w:lang w:eastAsia="zh-CN"/>
        </w:rPr>
        <w:t>speed</w:t>
      </w:r>
      <w:r w:rsidR="00427AC7">
        <w:rPr>
          <w:rFonts w:ascii="Arial" w:hAnsi="Arial" w:cs="Arial"/>
          <w:b/>
          <w:bCs/>
          <w:sz w:val="24"/>
          <w:lang w:eastAsia="zh-CN"/>
        </w:rPr>
        <w:t xml:space="preserve"> scenario</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350E9C0" w14:textId="076EB85C" w:rsidR="00B6745D" w:rsidRPr="00384C60" w:rsidRDefault="007E1F12" w:rsidP="00F71331">
      <w:pPr>
        <w:rPr>
          <w:sz w:val="22"/>
        </w:rPr>
      </w:pPr>
      <w:r w:rsidRPr="00384C60">
        <w:rPr>
          <w:noProof/>
          <w:sz w:val="22"/>
        </w:rPr>
        <mc:AlternateContent>
          <mc:Choice Requires="wps">
            <w:drawing>
              <wp:anchor distT="0" distB="0" distL="114300" distR="114300" simplePos="0" relativeHeight="251659264" behindDoc="0" locked="0" layoutInCell="1" allowOverlap="1" wp14:anchorId="1003F3E7" wp14:editId="2A3B37A7">
                <wp:simplePos x="0" y="0"/>
                <wp:positionH relativeFrom="column">
                  <wp:posOffset>-25400</wp:posOffset>
                </wp:positionH>
                <wp:positionV relativeFrom="paragraph">
                  <wp:posOffset>333375</wp:posOffset>
                </wp:positionV>
                <wp:extent cx="5934710" cy="1318895"/>
                <wp:effectExtent l="0" t="0" r="27940" b="14605"/>
                <wp:wrapTopAndBottom/>
                <wp:docPr id="1" name="文本框 1"/>
                <wp:cNvGraphicFramePr/>
                <a:graphic xmlns:a="http://schemas.openxmlformats.org/drawingml/2006/main">
                  <a:graphicData uri="http://schemas.microsoft.com/office/word/2010/wordprocessingShape">
                    <wps:wsp>
                      <wps:cNvSpPr txBox="1"/>
                      <wps:spPr>
                        <a:xfrm>
                          <a:off x="0" y="0"/>
                          <a:ext cx="5934710" cy="1318895"/>
                        </a:xfrm>
                        <a:prstGeom prst="rect">
                          <a:avLst/>
                        </a:prstGeom>
                        <a:solidFill>
                          <a:schemeClr val="lt1"/>
                        </a:solidFill>
                        <a:ln w="6350">
                          <a:solidFill>
                            <a:prstClr val="black"/>
                          </a:solidFill>
                        </a:ln>
                      </wps:spPr>
                      <wps:txbx>
                        <w:txbxContent>
                          <w:p w14:paraId="06631D35" w14:textId="77777777" w:rsidR="00571F55" w:rsidRPr="00384C60" w:rsidRDefault="00571F55" w:rsidP="00571F55">
                            <w:pPr>
                              <w:widowControl w:val="0"/>
                              <w:rPr>
                                <w:rFonts w:ascii="Calibri" w:eastAsia="等线" w:hAnsi="Calibri" w:cs="Calibri"/>
                                <w:i/>
                                <w:color w:val="FF0000"/>
                                <w:szCs w:val="16"/>
                              </w:rPr>
                            </w:pPr>
                            <w:r w:rsidRPr="00384C60">
                              <w:rPr>
                                <w:rFonts w:ascii="Calibri" w:eastAsia="等线" w:hAnsi="Calibri" w:cs="Calibri"/>
                                <w:i/>
                                <w:color w:val="FF0000"/>
                                <w:szCs w:val="16"/>
                              </w:rPr>
                              <w:t>RAN3#118:</w:t>
                            </w:r>
                          </w:p>
                          <w:p w14:paraId="349C49B2"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The following aspects on high speed scenario shall be discussed in next meeting:</w:t>
                            </w:r>
                          </w:p>
                          <w:p w14:paraId="6AC3F639"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a “HSDN wide indication” can be included in the Area Scope of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(from OAM to </w:t>
                            </w:r>
                            <w:proofErr w:type="spellStart"/>
                            <w:r w:rsidRPr="00384C60">
                              <w:rPr>
                                <w:rFonts w:eastAsia="MS Mincho"/>
                                <w:i/>
                                <w:color w:val="FF0000"/>
                                <w:kern w:val="0"/>
                                <w:sz w:val="20"/>
                                <w:szCs w:val="16"/>
                                <w:lang w:eastAsia="en-US"/>
                              </w:rPr>
                              <w:t>gNB</w:t>
                            </w:r>
                            <w:proofErr w:type="spellEnd"/>
                            <w:r w:rsidRPr="00384C60">
                              <w:rPr>
                                <w:rFonts w:eastAsia="MS Mincho"/>
                                <w:i/>
                                <w:color w:val="FF0000"/>
                                <w:kern w:val="0"/>
                                <w:sz w:val="20"/>
                                <w:szCs w:val="16"/>
                                <w:lang w:eastAsia="en-US"/>
                              </w:rPr>
                              <w:t xml:space="preserve">), instead of OAM being required to provide the whole list of HSDN cells. </w:t>
                            </w:r>
                          </w:p>
                          <w:p w14:paraId="7AC9CA43"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the ‘high UE velocity’ indication can be added into the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w:t>
                            </w:r>
                          </w:p>
                          <w:p w14:paraId="73E478A1" w14:textId="2A615936" w:rsidR="005361A0" w:rsidRPr="00384C60" w:rsidRDefault="006D269F" w:rsidP="006D269F">
                            <w:pPr>
                              <w:spacing w:before="120" w:after="0"/>
                              <w:rPr>
                                <w:rFonts w:ascii="Calibri" w:hAnsi="Calibri" w:cs="Calibri"/>
                                <w:b/>
                                <w:color w:val="008000"/>
                                <w:sz w:val="22"/>
                                <w:szCs w:val="18"/>
                              </w:rPr>
                            </w:pPr>
                            <w:r w:rsidRPr="00384C60">
                              <w:rPr>
                                <w:rFonts w:eastAsia="MS Mincho" w:cs="Calibri"/>
                                <w:i/>
                                <w:color w:val="FF0000"/>
                                <w:szCs w:val="16"/>
                              </w:rPr>
                              <w:t>Open issues are not limited to the above ones…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F3E7" id="_x0000_t202" coordsize="21600,21600" o:spt="202" path="m,l,21600r21600,l21600,xe">
                <v:stroke joinstyle="miter"/>
                <v:path gradientshapeok="t" o:connecttype="rect"/>
              </v:shapetype>
              <v:shape id="文本框 1" o:spid="_x0000_s1026" type="#_x0000_t202" style="position:absolute;margin-left:-2pt;margin-top:26.25pt;width:467.3pt;height:10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" fillcolor="white [3201]" strokeweight=".5pt">
                <v:textbox>
                  <w:txbxContent>
                    <w:p w14:paraId="06631D35" w14:textId="77777777" w:rsidR="00571F55" w:rsidRPr="00384C60" w:rsidRDefault="00571F55" w:rsidP="00571F55">
                      <w:pPr>
                        <w:widowControl w:val="0"/>
                        <w:rPr>
                          <w:rFonts w:ascii="Calibri" w:eastAsia="等线" w:hAnsi="Calibri" w:cs="Calibri"/>
                          <w:i/>
                          <w:color w:val="FF0000"/>
                          <w:szCs w:val="16"/>
                        </w:rPr>
                      </w:pPr>
                      <w:r w:rsidRPr="00384C60">
                        <w:rPr>
                          <w:rFonts w:ascii="Calibri" w:eastAsia="等线" w:hAnsi="Calibri" w:cs="Calibri"/>
                          <w:i/>
                          <w:color w:val="FF0000"/>
                          <w:szCs w:val="16"/>
                        </w:rPr>
                        <w:t>RAN3#118:</w:t>
                      </w:r>
                    </w:p>
                    <w:p w14:paraId="349C49B2"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The following aspects on high speed scenario shall be discussed in next meeting:</w:t>
                      </w:r>
                    </w:p>
                    <w:p w14:paraId="6AC3F639"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a “HSDN wide indication” can be included in the Area Scope of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(from OAM to </w:t>
                      </w:r>
                      <w:proofErr w:type="spellStart"/>
                      <w:r w:rsidRPr="00384C60">
                        <w:rPr>
                          <w:rFonts w:eastAsia="MS Mincho"/>
                          <w:i/>
                          <w:color w:val="FF0000"/>
                          <w:kern w:val="0"/>
                          <w:sz w:val="20"/>
                          <w:szCs w:val="16"/>
                          <w:lang w:eastAsia="en-US"/>
                        </w:rPr>
                        <w:t>gNB</w:t>
                      </w:r>
                      <w:proofErr w:type="spellEnd"/>
                      <w:r w:rsidRPr="00384C60">
                        <w:rPr>
                          <w:rFonts w:eastAsia="MS Mincho"/>
                          <w:i/>
                          <w:color w:val="FF0000"/>
                          <w:kern w:val="0"/>
                          <w:sz w:val="20"/>
                          <w:szCs w:val="16"/>
                          <w:lang w:eastAsia="en-US"/>
                        </w:rPr>
                        <w:t xml:space="preserve">), instead of OAM being required to provide the whole list of HSDN cells. </w:t>
                      </w:r>
                    </w:p>
                    <w:p w14:paraId="7AC9CA43"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the ‘high UE velocity’ indication can be added into the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w:t>
                      </w:r>
                    </w:p>
                    <w:p w14:paraId="73E478A1" w14:textId="2A615936" w:rsidR="005361A0" w:rsidRPr="00384C60" w:rsidRDefault="006D269F" w:rsidP="006D269F">
                      <w:pPr>
                        <w:spacing w:before="120" w:after="0"/>
                        <w:rPr>
                          <w:rFonts w:ascii="Calibri" w:hAnsi="Calibri" w:cs="Calibri"/>
                          <w:b/>
                          <w:color w:val="008000"/>
                          <w:sz w:val="22"/>
                          <w:szCs w:val="18"/>
                        </w:rPr>
                      </w:pPr>
                      <w:r w:rsidRPr="00384C60">
                        <w:rPr>
                          <w:rFonts w:eastAsia="MS Mincho" w:cs="Calibri"/>
                          <w:i/>
                          <w:color w:val="FF0000"/>
                          <w:szCs w:val="16"/>
                        </w:rPr>
                        <w:t>Open issues are not limited to the above ones…</w:t>
                      </w:r>
                    </w:p>
                  </w:txbxContent>
                </v:textbox>
                <w10:wrap type="topAndBottom"/>
              </v:shape>
            </w:pict>
          </mc:Fallback>
        </mc:AlternateContent>
      </w:r>
      <w:r w:rsidR="0070147B" w:rsidRPr="00384C60">
        <w:rPr>
          <w:sz w:val="22"/>
        </w:rPr>
        <w:t xml:space="preserve">In this contribution, we’d like to discuss </w:t>
      </w:r>
      <w:r w:rsidR="00E22E2A" w:rsidRPr="00384C60">
        <w:rPr>
          <w:sz w:val="22"/>
        </w:rPr>
        <w:t>QMC for high speed scenario</w:t>
      </w:r>
      <w:r w:rsidR="00307733" w:rsidRPr="00384C60">
        <w:rPr>
          <w:sz w:val="22"/>
        </w:rPr>
        <w:t xml:space="preserve"> based on the </w:t>
      </w:r>
      <w:r w:rsidR="00E22E2A" w:rsidRPr="00384C60">
        <w:rPr>
          <w:sz w:val="22"/>
        </w:rPr>
        <w:t>discussions in RAN3 118 meeting</w:t>
      </w:r>
      <w:r w:rsidR="00D11B38">
        <w:rPr>
          <w:sz w:val="22"/>
        </w:rPr>
        <w:t>, considering this is not discussed in RAN3 119 meeting.</w:t>
      </w:r>
      <w:bookmarkStart w:id="0" w:name="_GoBack"/>
      <w:bookmarkEnd w:id="0"/>
    </w:p>
    <w:p w14:paraId="479DA40B" w14:textId="77777777" w:rsidR="00CD4C7B" w:rsidRPr="006E13D1" w:rsidRDefault="00CD4C7B" w:rsidP="00CD4C7B">
      <w:pPr>
        <w:pStyle w:val="1"/>
      </w:pPr>
      <w:r w:rsidRPr="006E13D1">
        <w:t>2</w:t>
      </w:r>
      <w:r w:rsidRPr="006E13D1">
        <w:tab/>
      </w:r>
      <w:r w:rsidR="00972FD7">
        <w:t>Discussion</w:t>
      </w:r>
    </w:p>
    <w:p w14:paraId="157EA7AF" w14:textId="4B70A597" w:rsidR="006D269F" w:rsidRPr="00384C60" w:rsidRDefault="007E1F12" w:rsidP="00232F08">
      <w:pPr>
        <w:rPr>
          <w:sz w:val="22"/>
          <w:szCs w:val="22"/>
        </w:rPr>
      </w:pPr>
      <w:bookmarkStart w:id="1" w:name="_Hlk109747344"/>
      <w:r w:rsidRPr="00384C60">
        <w:rPr>
          <w:sz w:val="22"/>
          <w:szCs w:val="22"/>
        </w:rPr>
        <w:t xml:space="preserve">In </w:t>
      </w:r>
      <w:r w:rsidR="00FA5EEC" w:rsidRPr="00384C60">
        <w:rPr>
          <w:sz w:val="22"/>
          <w:szCs w:val="22"/>
        </w:rPr>
        <w:t xml:space="preserve">RAN3 </w:t>
      </w:r>
      <w:r w:rsidR="00E46B17" w:rsidRPr="00384C60">
        <w:rPr>
          <w:sz w:val="22"/>
          <w:szCs w:val="22"/>
        </w:rPr>
        <w:t xml:space="preserve">118 </w:t>
      </w:r>
      <w:r w:rsidR="00FA5EEC" w:rsidRPr="00384C60">
        <w:rPr>
          <w:sz w:val="22"/>
          <w:szCs w:val="22"/>
        </w:rPr>
        <w:t xml:space="preserve">meeting, </w:t>
      </w:r>
      <w:r w:rsidR="00E46B17" w:rsidRPr="00384C60">
        <w:rPr>
          <w:sz w:val="22"/>
          <w:szCs w:val="22"/>
        </w:rPr>
        <w:t>whether to introduce a “HSDN wide indication” to replace the whole list of HSDN cells</w:t>
      </w:r>
      <w:r w:rsidR="003048A9" w:rsidRPr="00384C60">
        <w:rPr>
          <w:sz w:val="22"/>
          <w:szCs w:val="22"/>
        </w:rPr>
        <w:t xml:space="preserve"> had been discussed</w:t>
      </w:r>
      <w:r w:rsidR="00E46B17" w:rsidRPr="00384C60">
        <w:rPr>
          <w:sz w:val="22"/>
          <w:szCs w:val="22"/>
        </w:rPr>
        <w:t xml:space="preserve">, </w:t>
      </w:r>
      <w:r w:rsidR="00232F08" w:rsidRPr="00384C60">
        <w:rPr>
          <w:sz w:val="22"/>
          <w:szCs w:val="22"/>
        </w:rPr>
        <w:t xml:space="preserve">i.e. </w:t>
      </w:r>
      <w:r w:rsidR="006D269F" w:rsidRPr="00384C60">
        <w:rPr>
          <w:rFonts w:eastAsia="MS Mincho" w:cs="Calibri"/>
          <w:i/>
          <w:color w:val="FF0000"/>
          <w:sz w:val="22"/>
          <w:szCs w:val="22"/>
        </w:rPr>
        <w:t xml:space="preserve">Whether a “HSDN wide indication” can be included in the Area Scope of </w:t>
      </w:r>
      <w:proofErr w:type="spellStart"/>
      <w:r w:rsidR="006D269F" w:rsidRPr="00384C60">
        <w:rPr>
          <w:rFonts w:eastAsia="MS Mincho" w:cs="Calibri"/>
          <w:i/>
          <w:color w:val="FF0000"/>
          <w:sz w:val="22"/>
          <w:szCs w:val="22"/>
        </w:rPr>
        <w:t>QoE</w:t>
      </w:r>
      <w:proofErr w:type="spellEnd"/>
      <w:r w:rsidR="006D269F" w:rsidRPr="00384C60">
        <w:rPr>
          <w:rFonts w:eastAsia="MS Mincho" w:cs="Calibri"/>
          <w:i/>
          <w:color w:val="FF0000"/>
          <w:sz w:val="22"/>
          <w:szCs w:val="22"/>
        </w:rPr>
        <w:t xml:space="preserve"> configuration (from OAM to </w:t>
      </w:r>
      <w:proofErr w:type="spellStart"/>
      <w:r w:rsidR="006D269F" w:rsidRPr="00384C60">
        <w:rPr>
          <w:rFonts w:eastAsia="MS Mincho" w:cs="Calibri"/>
          <w:i/>
          <w:color w:val="FF0000"/>
          <w:sz w:val="22"/>
          <w:szCs w:val="22"/>
        </w:rPr>
        <w:t>gNB</w:t>
      </w:r>
      <w:proofErr w:type="spellEnd"/>
      <w:r w:rsidR="006D269F" w:rsidRPr="00384C60">
        <w:rPr>
          <w:rFonts w:eastAsia="MS Mincho" w:cs="Calibri"/>
          <w:i/>
          <w:color w:val="FF0000"/>
          <w:sz w:val="22"/>
          <w:szCs w:val="22"/>
        </w:rPr>
        <w:t xml:space="preserve">), instead of OAM being required to provide the whole list of HSDN cells. </w:t>
      </w:r>
    </w:p>
    <w:p w14:paraId="58DBCB36" w14:textId="0DD8512D" w:rsidR="00BA0310" w:rsidRPr="00384C60" w:rsidRDefault="001A6D34" w:rsidP="004E6C01">
      <w:pPr>
        <w:rPr>
          <w:sz w:val="22"/>
          <w:szCs w:val="22"/>
          <w:lang w:eastAsia="zh-CN"/>
        </w:rPr>
      </w:pPr>
      <w:r>
        <w:rPr>
          <w:sz w:val="22"/>
          <w:szCs w:val="22"/>
        </w:rPr>
        <w:t>If</w:t>
      </w:r>
      <w:r w:rsidRPr="00384C60">
        <w:rPr>
          <w:sz w:val="22"/>
          <w:szCs w:val="22"/>
        </w:rPr>
        <w:t xml:space="preserve"> it’s only for saving signalling</w:t>
      </w:r>
      <w:r>
        <w:rPr>
          <w:sz w:val="22"/>
          <w:szCs w:val="22"/>
        </w:rPr>
        <w:t xml:space="preserve">, </w:t>
      </w:r>
      <w:r w:rsidR="003048A9" w:rsidRPr="00384C60">
        <w:rPr>
          <w:sz w:val="22"/>
          <w:szCs w:val="22"/>
        </w:rPr>
        <w:t xml:space="preserve">we don’t see the </w:t>
      </w:r>
      <w:r w:rsidRPr="001A6D34">
        <w:rPr>
          <w:sz w:val="22"/>
          <w:szCs w:val="22"/>
        </w:rPr>
        <w:t xml:space="preserve">necessity </w:t>
      </w:r>
      <w:r w:rsidR="003048A9" w:rsidRPr="00384C60">
        <w:rPr>
          <w:sz w:val="22"/>
          <w:szCs w:val="22"/>
        </w:rPr>
        <w:t>to use “HSDN wide indication” to replace the list of HSDN cells</w:t>
      </w:r>
      <w:r w:rsidR="003048A9" w:rsidRPr="00384C60">
        <w:rPr>
          <w:rFonts w:hint="eastAsia"/>
          <w:sz w:val="22"/>
          <w:szCs w:val="22"/>
          <w:lang w:eastAsia="zh-CN"/>
        </w:rPr>
        <w:t>.</w:t>
      </w:r>
      <w:r w:rsidR="003048A9" w:rsidRPr="00384C60">
        <w:rPr>
          <w:sz w:val="22"/>
          <w:szCs w:val="22"/>
          <w:lang w:eastAsia="zh-CN"/>
        </w:rPr>
        <w:t xml:space="preserve"> Besides, we don’t think it’s a good idea to </w:t>
      </w:r>
      <w:r w:rsidR="00E22E2A" w:rsidRPr="00384C60">
        <w:rPr>
          <w:sz w:val="22"/>
          <w:szCs w:val="22"/>
          <w:lang w:eastAsia="zh-CN"/>
        </w:rPr>
        <w:t xml:space="preserve">sacrifice </w:t>
      </w:r>
      <w:r w:rsidR="003048A9" w:rsidRPr="00384C60">
        <w:rPr>
          <w:sz w:val="22"/>
          <w:szCs w:val="22"/>
          <w:lang w:eastAsia="zh-CN"/>
        </w:rPr>
        <w:t>the flexibility of</w:t>
      </w:r>
      <w:r w:rsidR="00E22E2A" w:rsidRPr="00384C60">
        <w:rPr>
          <w:sz w:val="22"/>
          <w:szCs w:val="22"/>
          <w:lang w:eastAsia="zh-CN"/>
        </w:rPr>
        <w:t xml:space="preserve"> collecting </w:t>
      </w:r>
      <w:proofErr w:type="spellStart"/>
      <w:r w:rsidR="00E22E2A" w:rsidRPr="00384C60">
        <w:rPr>
          <w:sz w:val="22"/>
          <w:szCs w:val="22"/>
          <w:lang w:eastAsia="zh-CN"/>
        </w:rPr>
        <w:t>QoE</w:t>
      </w:r>
      <w:proofErr w:type="spellEnd"/>
      <w:r w:rsidR="00E22E2A" w:rsidRPr="00384C60">
        <w:rPr>
          <w:sz w:val="22"/>
          <w:szCs w:val="22"/>
          <w:lang w:eastAsia="zh-CN"/>
        </w:rPr>
        <w:t xml:space="preserve"> in cell level</w:t>
      </w:r>
      <w:r>
        <w:rPr>
          <w:sz w:val="22"/>
          <w:szCs w:val="22"/>
          <w:lang w:eastAsia="zh-CN"/>
        </w:rPr>
        <w:t xml:space="preserve"> to have such enhancement</w:t>
      </w:r>
      <w:r w:rsidR="003048A9" w:rsidRPr="00384C60">
        <w:rPr>
          <w:sz w:val="22"/>
          <w:szCs w:val="22"/>
          <w:lang w:eastAsia="zh-CN"/>
        </w:rPr>
        <w:t xml:space="preserve">. </w:t>
      </w:r>
    </w:p>
    <w:p w14:paraId="48B54D58" w14:textId="21A1D6A8" w:rsidR="003048A9" w:rsidRPr="00384C60" w:rsidRDefault="001A6D34" w:rsidP="00264EA0">
      <w:pPr>
        <w:rPr>
          <w:sz w:val="22"/>
          <w:szCs w:val="22"/>
          <w:lang w:eastAsia="zh-CN"/>
        </w:rPr>
      </w:pPr>
      <w:r>
        <w:rPr>
          <w:sz w:val="22"/>
          <w:szCs w:val="22"/>
          <w:lang w:eastAsia="zh-CN"/>
        </w:rPr>
        <w:t xml:space="preserve">In our understanding, </w:t>
      </w:r>
      <w:r w:rsidR="00BA0310" w:rsidRPr="00384C60">
        <w:rPr>
          <w:sz w:val="22"/>
          <w:szCs w:val="22"/>
          <w:lang w:eastAsia="zh-CN"/>
        </w:rPr>
        <w:t xml:space="preserve">any enhancement on area scope seems not </w:t>
      </w:r>
      <w:r w:rsidR="00E22E2A" w:rsidRPr="00384C60">
        <w:rPr>
          <w:sz w:val="22"/>
          <w:szCs w:val="22"/>
          <w:lang w:eastAsia="zh-CN"/>
        </w:rPr>
        <w:t>helpful</w:t>
      </w:r>
      <w:r w:rsidR="00BA0310" w:rsidRPr="00384C60">
        <w:rPr>
          <w:sz w:val="22"/>
          <w:szCs w:val="22"/>
          <w:lang w:eastAsia="zh-CN"/>
        </w:rPr>
        <w:t xml:space="preserve"> for QMC in high speed scenario</w:t>
      </w:r>
      <w:r w:rsidR="00264EA0" w:rsidRPr="00384C60">
        <w:rPr>
          <w:sz w:val="22"/>
          <w:szCs w:val="22"/>
          <w:lang w:eastAsia="zh-CN"/>
        </w:rPr>
        <w:t>. According to TS 38.304</w:t>
      </w:r>
      <w:r>
        <w:rPr>
          <w:sz w:val="22"/>
          <w:szCs w:val="22"/>
          <w:lang w:eastAsia="zh-CN"/>
        </w:rPr>
        <w:t>[1]</w:t>
      </w:r>
      <w:r w:rsidR="00264EA0" w:rsidRPr="00384C60">
        <w:rPr>
          <w:sz w:val="22"/>
          <w:szCs w:val="22"/>
          <w:lang w:eastAsia="zh-CN"/>
        </w:rPr>
        <w:t xml:space="preserve"> and TS 38.331</w:t>
      </w:r>
      <w:r>
        <w:rPr>
          <w:sz w:val="22"/>
          <w:szCs w:val="22"/>
          <w:lang w:eastAsia="zh-CN"/>
        </w:rPr>
        <w:t>[2]</w:t>
      </w:r>
      <w:r w:rsidR="00264EA0" w:rsidRPr="00384C60">
        <w:rPr>
          <w:sz w:val="22"/>
          <w:szCs w:val="22"/>
          <w:lang w:eastAsia="zh-CN"/>
        </w:rPr>
        <w:t xml:space="preserve">, the HSDN indication is used for HSDN-capable UE to select the HSDN cell when it’s in high mobility state, which means that a non-HSDN-capable UE can also select the HSDN cell even it’s not in high speed </w:t>
      </w:r>
      <w:r w:rsidR="00E22E2A" w:rsidRPr="00384C60">
        <w:rPr>
          <w:sz w:val="22"/>
          <w:szCs w:val="22"/>
          <w:lang w:eastAsia="zh-CN"/>
        </w:rPr>
        <w:t>state</w:t>
      </w:r>
      <w:r w:rsidR="00264EA0" w:rsidRPr="00384C60">
        <w:rPr>
          <w:sz w:val="22"/>
          <w:szCs w:val="22"/>
          <w:lang w:eastAsia="zh-CN"/>
        </w:rPr>
        <w:t xml:space="preserve">. In QMC, the area scope is </w:t>
      </w:r>
      <w:r w:rsidR="00E22E2A" w:rsidRPr="00384C60">
        <w:rPr>
          <w:sz w:val="22"/>
          <w:szCs w:val="22"/>
          <w:lang w:eastAsia="zh-CN"/>
        </w:rPr>
        <w:t>checked</w:t>
      </w:r>
      <w:r w:rsidR="00264EA0" w:rsidRPr="00384C60">
        <w:rPr>
          <w:sz w:val="22"/>
          <w:szCs w:val="22"/>
          <w:lang w:eastAsia="zh-CN"/>
        </w:rPr>
        <w:t xml:space="preserve"> by </w:t>
      </w:r>
      <w:proofErr w:type="spellStart"/>
      <w:r w:rsidR="00264EA0" w:rsidRPr="00384C60">
        <w:rPr>
          <w:sz w:val="22"/>
          <w:szCs w:val="22"/>
          <w:lang w:eastAsia="zh-CN"/>
        </w:rPr>
        <w:t>gNB</w:t>
      </w:r>
      <w:proofErr w:type="spellEnd"/>
      <w:r w:rsidR="00264EA0" w:rsidRPr="00384C60">
        <w:rPr>
          <w:sz w:val="22"/>
          <w:szCs w:val="22"/>
          <w:lang w:eastAsia="zh-CN"/>
        </w:rPr>
        <w:t xml:space="preserve"> to decide whether UE is in scope and send the </w:t>
      </w:r>
      <w:proofErr w:type="spellStart"/>
      <w:r w:rsidR="00264EA0" w:rsidRPr="00384C60">
        <w:rPr>
          <w:sz w:val="22"/>
          <w:szCs w:val="22"/>
          <w:lang w:eastAsia="zh-CN"/>
        </w:rPr>
        <w:t>QoE</w:t>
      </w:r>
      <w:proofErr w:type="spellEnd"/>
      <w:r w:rsidR="00264EA0" w:rsidRPr="00384C60">
        <w:rPr>
          <w:sz w:val="22"/>
          <w:szCs w:val="22"/>
          <w:lang w:eastAsia="zh-CN"/>
        </w:rPr>
        <w:t xml:space="preserve"> configuration to the UE if it’s in scope,</w:t>
      </w:r>
      <w:r w:rsidR="00BA0310" w:rsidRPr="00384C60">
        <w:rPr>
          <w:sz w:val="22"/>
          <w:szCs w:val="22"/>
          <w:lang w:eastAsia="zh-CN"/>
        </w:rPr>
        <w:t xml:space="preserve"> but the </w:t>
      </w:r>
      <w:proofErr w:type="spellStart"/>
      <w:r w:rsidR="00BA0310" w:rsidRPr="00384C60">
        <w:rPr>
          <w:sz w:val="22"/>
          <w:szCs w:val="22"/>
          <w:lang w:eastAsia="zh-CN"/>
        </w:rPr>
        <w:t>gNB</w:t>
      </w:r>
      <w:proofErr w:type="spellEnd"/>
      <w:r w:rsidR="00BA0310" w:rsidRPr="00384C60">
        <w:rPr>
          <w:sz w:val="22"/>
          <w:szCs w:val="22"/>
          <w:lang w:eastAsia="zh-CN"/>
        </w:rPr>
        <w:t xml:space="preserve"> may not know whether the UE is in high speed</w:t>
      </w:r>
      <w:r>
        <w:rPr>
          <w:sz w:val="22"/>
          <w:szCs w:val="22"/>
          <w:lang w:eastAsia="zh-CN"/>
        </w:rPr>
        <w:t>,</w:t>
      </w:r>
      <w:r w:rsidR="00BA0310" w:rsidRPr="00384C60">
        <w:rPr>
          <w:sz w:val="22"/>
          <w:szCs w:val="22"/>
          <w:lang w:eastAsia="zh-CN"/>
        </w:rPr>
        <w:t xml:space="preserve"> even </w:t>
      </w:r>
      <w:r w:rsidRPr="00384C60">
        <w:rPr>
          <w:sz w:val="22"/>
          <w:szCs w:val="22"/>
          <w:lang w:eastAsia="zh-CN"/>
        </w:rPr>
        <w:t>though</w:t>
      </w:r>
      <w:r w:rsidR="00BA0310" w:rsidRPr="00384C60">
        <w:rPr>
          <w:sz w:val="22"/>
          <w:szCs w:val="22"/>
          <w:lang w:eastAsia="zh-CN"/>
        </w:rPr>
        <w:t xml:space="preserve"> the UE is in a HSDN cell.</w:t>
      </w:r>
    </w:p>
    <w:p w14:paraId="76188652" w14:textId="64659BDC" w:rsidR="00E22E2A" w:rsidRPr="00384C60" w:rsidRDefault="00264EA0" w:rsidP="00264EA0">
      <w:pPr>
        <w:rPr>
          <w:sz w:val="22"/>
          <w:szCs w:val="22"/>
          <w:lang w:eastAsia="zh-CN"/>
        </w:rPr>
      </w:pPr>
      <w:r w:rsidRPr="00384C60">
        <w:rPr>
          <w:sz w:val="22"/>
          <w:szCs w:val="22"/>
          <w:lang w:eastAsia="zh-CN"/>
        </w:rPr>
        <w:t xml:space="preserve">If we want to support QMC </w:t>
      </w:r>
      <w:r w:rsidR="001A6D34">
        <w:rPr>
          <w:sz w:val="22"/>
          <w:szCs w:val="22"/>
          <w:lang w:eastAsia="zh-CN"/>
        </w:rPr>
        <w:t>for</w:t>
      </w:r>
      <w:r w:rsidRPr="00384C60">
        <w:rPr>
          <w:sz w:val="22"/>
          <w:szCs w:val="22"/>
          <w:lang w:eastAsia="zh-CN"/>
        </w:rPr>
        <w:t xml:space="preserve"> high speed mobility, the UE speed can be as one type of scope</w:t>
      </w:r>
      <w:r w:rsidR="00E22E2A" w:rsidRPr="00384C60">
        <w:rPr>
          <w:sz w:val="22"/>
          <w:szCs w:val="22"/>
          <w:lang w:eastAsia="zh-CN"/>
        </w:rPr>
        <w:t xml:space="preserve">, which can work with other scopes at the same time, such as Area scope and Slice scope. </w:t>
      </w:r>
    </w:p>
    <w:p w14:paraId="3F3C81D1" w14:textId="4CB7B76B" w:rsidR="00163ADA" w:rsidRPr="00384C60" w:rsidRDefault="00E22E2A" w:rsidP="00264EA0">
      <w:pPr>
        <w:rPr>
          <w:sz w:val="22"/>
          <w:szCs w:val="22"/>
          <w:lang w:eastAsia="zh-CN"/>
        </w:rPr>
      </w:pPr>
      <w:r w:rsidRPr="00384C60">
        <w:rPr>
          <w:sz w:val="22"/>
          <w:szCs w:val="22"/>
          <w:lang w:eastAsia="zh-CN"/>
        </w:rPr>
        <w:t xml:space="preserve">Then, the next issue is which entity </w:t>
      </w:r>
      <w:r w:rsidR="00163ADA" w:rsidRPr="00384C60">
        <w:rPr>
          <w:sz w:val="22"/>
          <w:szCs w:val="22"/>
          <w:lang w:eastAsia="zh-CN"/>
        </w:rPr>
        <w:t>(</w:t>
      </w:r>
      <w:proofErr w:type="spellStart"/>
      <w:r w:rsidR="00163ADA" w:rsidRPr="00384C60">
        <w:rPr>
          <w:sz w:val="22"/>
          <w:szCs w:val="22"/>
          <w:lang w:eastAsia="zh-CN"/>
        </w:rPr>
        <w:t>gNB</w:t>
      </w:r>
      <w:proofErr w:type="spellEnd"/>
      <w:r w:rsidR="00163ADA" w:rsidRPr="00384C60">
        <w:rPr>
          <w:sz w:val="22"/>
          <w:szCs w:val="22"/>
          <w:lang w:eastAsia="zh-CN"/>
        </w:rPr>
        <w:t xml:space="preserve"> and UE) </w:t>
      </w:r>
      <w:r w:rsidRPr="00384C60">
        <w:rPr>
          <w:sz w:val="22"/>
          <w:szCs w:val="22"/>
          <w:lang w:eastAsia="zh-CN"/>
        </w:rPr>
        <w:t xml:space="preserve">is responsible for speed scope check. </w:t>
      </w:r>
      <w:r w:rsidR="00163ADA" w:rsidRPr="00384C60">
        <w:rPr>
          <w:sz w:val="22"/>
          <w:szCs w:val="22"/>
          <w:lang w:eastAsia="zh-CN"/>
        </w:rPr>
        <w:t>According to TS 38.306</w:t>
      </w:r>
      <w:r w:rsidR="001A6D34">
        <w:rPr>
          <w:sz w:val="22"/>
          <w:szCs w:val="22"/>
          <w:lang w:eastAsia="zh-CN"/>
        </w:rPr>
        <w:t>[3]</w:t>
      </w:r>
      <w:r w:rsidR="00163ADA" w:rsidRPr="00384C60">
        <w:rPr>
          <w:sz w:val="22"/>
          <w:szCs w:val="22"/>
          <w:lang w:eastAsia="zh-CN"/>
        </w:rPr>
        <w:t>, the HSDN capability of UE is not reported to the network, and the s</w:t>
      </w:r>
      <w:r w:rsidRPr="00384C60">
        <w:rPr>
          <w:sz w:val="22"/>
          <w:szCs w:val="22"/>
          <w:lang w:eastAsia="zh-CN"/>
        </w:rPr>
        <w:t xml:space="preserve">erving </w:t>
      </w:r>
      <w:proofErr w:type="spellStart"/>
      <w:r w:rsidRPr="00384C60">
        <w:rPr>
          <w:sz w:val="22"/>
          <w:szCs w:val="22"/>
          <w:lang w:eastAsia="zh-CN"/>
        </w:rPr>
        <w:t>gNB</w:t>
      </w:r>
      <w:proofErr w:type="spellEnd"/>
      <w:r w:rsidRPr="00384C60">
        <w:rPr>
          <w:sz w:val="22"/>
          <w:szCs w:val="22"/>
          <w:lang w:eastAsia="zh-CN"/>
        </w:rPr>
        <w:t xml:space="preserve"> is not aware of </w:t>
      </w:r>
      <w:r w:rsidR="00163ADA" w:rsidRPr="00384C60">
        <w:rPr>
          <w:sz w:val="22"/>
          <w:szCs w:val="22"/>
          <w:lang w:eastAsia="zh-CN"/>
        </w:rPr>
        <w:t xml:space="preserve">UE speed. If the speed scope is checked by </w:t>
      </w:r>
      <w:proofErr w:type="spellStart"/>
      <w:r w:rsidR="00163ADA" w:rsidRPr="00384C60">
        <w:rPr>
          <w:sz w:val="22"/>
          <w:szCs w:val="22"/>
          <w:lang w:eastAsia="zh-CN"/>
        </w:rPr>
        <w:t>gNB</w:t>
      </w:r>
      <w:proofErr w:type="spellEnd"/>
      <w:r w:rsidR="00163ADA" w:rsidRPr="00384C60">
        <w:rPr>
          <w:sz w:val="22"/>
          <w:szCs w:val="22"/>
          <w:lang w:eastAsia="zh-CN"/>
        </w:rPr>
        <w:t xml:space="preserve">, the UE needs to either report its HSDN capability to </w:t>
      </w:r>
      <w:proofErr w:type="spellStart"/>
      <w:r w:rsidR="00163ADA" w:rsidRPr="00384C60">
        <w:rPr>
          <w:sz w:val="22"/>
          <w:szCs w:val="22"/>
          <w:lang w:eastAsia="zh-CN"/>
        </w:rPr>
        <w:t>gNB</w:t>
      </w:r>
      <w:proofErr w:type="spellEnd"/>
      <w:r w:rsidR="00163ADA" w:rsidRPr="00384C60">
        <w:rPr>
          <w:sz w:val="22"/>
          <w:szCs w:val="22"/>
          <w:lang w:eastAsia="zh-CN"/>
        </w:rPr>
        <w:t xml:space="preserve"> or report its speed state to </w:t>
      </w:r>
      <w:proofErr w:type="spellStart"/>
      <w:r w:rsidR="00163ADA" w:rsidRPr="00384C60">
        <w:rPr>
          <w:sz w:val="22"/>
          <w:szCs w:val="22"/>
          <w:lang w:eastAsia="zh-CN"/>
        </w:rPr>
        <w:t>gNB</w:t>
      </w:r>
      <w:proofErr w:type="spellEnd"/>
      <w:r w:rsidR="00163ADA" w:rsidRPr="00384C60">
        <w:rPr>
          <w:sz w:val="22"/>
          <w:szCs w:val="22"/>
          <w:lang w:eastAsia="zh-CN"/>
        </w:rPr>
        <w:t xml:space="preserve">, if the speed scope is checked by UE, the speed scope needs to be included in </w:t>
      </w:r>
      <w:proofErr w:type="spellStart"/>
      <w:r w:rsidR="00163ADA" w:rsidRPr="00384C60">
        <w:rPr>
          <w:sz w:val="22"/>
          <w:szCs w:val="22"/>
          <w:lang w:eastAsia="zh-CN"/>
        </w:rPr>
        <w:t>QoE</w:t>
      </w:r>
      <w:proofErr w:type="spellEnd"/>
      <w:r w:rsidR="00163ADA" w:rsidRPr="00384C60">
        <w:rPr>
          <w:sz w:val="22"/>
          <w:szCs w:val="22"/>
          <w:lang w:eastAsia="zh-CN"/>
        </w:rPr>
        <w:t xml:space="preserve"> configuration send to UE, and the detail design of speed scope can be further discussed. No matter how, the RAN2 impact is foreseen, so we can send the LS to RAN2 to ask the feasibility.</w:t>
      </w:r>
    </w:p>
    <w:p w14:paraId="0DF08568" w14:textId="7FB7A1D8" w:rsidR="00163ADA" w:rsidRPr="00384C60" w:rsidRDefault="00163ADA" w:rsidP="00264EA0">
      <w:pPr>
        <w:rPr>
          <w:b/>
          <w:sz w:val="22"/>
          <w:szCs w:val="22"/>
          <w:lang w:eastAsia="zh-CN"/>
        </w:rPr>
      </w:pPr>
      <w:r w:rsidRPr="00384C60">
        <w:rPr>
          <w:b/>
          <w:sz w:val="22"/>
          <w:szCs w:val="22"/>
          <w:lang w:eastAsia="zh-CN"/>
        </w:rPr>
        <w:t>Observation</w:t>
      </w:r>
      <w:r w:rsidR="00384C60">
        <w:rPr>
          <w:b/>
          <w:sz w:val="22"/>
          <w:szCs w:val="22"/>
          <w:lang w:eastAsia="zh-CN"/>
        </w:rPr>
        <w:t xml:space="preserve"> 1</w:t>
      </w:r>
      <w:r w:rsidRPr="00384C60">
        <w:rPr>
          <w:b/>
          <w:sz w:val="22"/>
          <w:szCs w:val="22"/>
          <w:lang w:eastAsia="zh-CN"/>
        </w:rPr>
        <w:t xml:space="preserve">, </w:t>
      </w:r>
      <w:r w:rsidRPr="00384C60">
        <w:rPr>
          <w:b/>
          <w:sz w:val="22"/>
          <w:szCs w:val="22"/>
        </w:rPr>
        <w:t xml:space="preserve">use “HSDN wide indication” to replace the list of HSDN cells will </w:t>
      </w:r>
      <w:r w:rsidRPr="00384C60">
        <w:rPr>
          <w:b/>
          <w:sz w:val="22"/>
          <w:szCs w:val="22"/>
          <w:lang w:eastAsia="zh-CN"/>
        </w:rPr>
        <w:t xml:space="preserve">sacrifice the flexibility of collecting </w:t>
      </w:r>
      <w:proofErr w:type="spellStart"/>
      <w:r w:rsidRPr="00384C60">
        <w:rPr>
          <w:b/>
          <w:sz w:val="22"/>
          <w:szCs w:val="22"/>
          <w:lang w:eastAsia="zh-CN"/>
        </w:rPr>
        <w:t>QoE</w:t>
      </w:r>
      <w:proofErr w:type="spellEnd"/>
      <w:r w:rsidRPr="00384C60">
        <w:rPr>
          <w:b/>
          <w:sz w:val="22"/>
          <w:szCs w:val="22"/>
          <w:lang w:eastAsia="zh-CN"/>
        </w:rPr>
        <w:t xml:space="preserve"> in cell level.</w:t>
      </w:r>
    </w:p>
    <w:p w14:paraId="4888F8AD" w14:textId="2607088D" w:rsidR="00163ADA" w:rsidRPr="00384C60" w:rsidRDefault="00163ADA" w:rsidP="00264EA0">
      <w:pPr>
        <w:rPr>
          <w:b/>
          <w:sz w:val="22"/>
          <w:szCs w:val="22"/>
          <w:lang w:eastAsia="zh-CN"/>
        </w:rPr>
      </w:pPr>
      <w:r w:rsidRPr="00384C60">
        <w:rPr>
          <w:b/>
          <w:sz w:val="22"/>
          <w:szCs w:val="22"/>
          <w:lang w:eastAsia="zh-CN"/>
        </w:rPr>
        <w:lastRenderedPageBreak/>
        <w:t>Observation</w:t>
      </w:r>
      <w:r w:rsidR="00384C60">
        <w:rPr>
          <w:b/>
          <w:sz w:val="22"/>
          <w:szCs w:val="22"/>
          <w:lang w:eastAsia="zh-CN"/>
        </w:rPr>
        <w:t xml:space="preserve"> 2</w:t>
      </w:r>
      <w:r w:rsidRPr="00384C60">
        <w:rPr>
          <w:b/>
          <w:sz w:val="22"/>
          <w:szCs w:val="22"/>
          <w:lang w:eastAsia="zh-CN"/>
        </w:rPr>
        <w:t xml:space="preserve">, include HSDN indication in Area scope would not be helpful for QMC in high speed scenario since the </w:t>
      </w:r>
      <w:proofErr w:type="spellStart"/>
      <w:r w:rsidRPr="00384C60">
        <w:rPr>
          <w:b/>
          <w:sz w:val="22"/>
          <w:szCs w:val="22"/>
          <w:lang w:eastAsia="zh-CN"/>
        </w:rPr>
        <w:t>gNB</w:t>
      </w:r>
      <w:proofErr w:type="spellEnd"/>
      <w:r w:rsidRPr="00384C60">
        <w:rPr>
          <w:b/>
          <w:sz w:val="22"/>
          <w:szCs w:val="22"/>
          <w:lang w:eastAsia="zh-CN"/>
        </w:rPr>
        <w:t xml:space="preserve"> that checks the area scope has no idea of UE speed state.</w:t>
      </w:r>
    </w:p>
    <w:p w14:paraId="2A76463F" w14:textId="1F179550" w:rsidR="00163ADA"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1</w:t>
      </w:r>
      <w:r w:rsidRPr="00384C60">
        <w:rPr>
          <w:b/>
          <w:sz w:val="22"/>
          <w:szCs w:val="22"/>
          <w:lang w:eastAsia="zh-CN"/>
        </w:rPr>
        <w:t xml:space="preserve">, RAN3 agree to introduce a new type of scope (i.e. speed scope) for QMC high speed scenario. </w:t>
      </w:r>
    </w:p>
    <w:p w14:paraId="324BC424" w14:textId="1AC42C8C" w:rsidR="00427AC7"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2</w:t>
      </w:r>
      <w:r w:rsidRPr="00384C60">
        <w:rPr>
          <w:b/>
          <w:sz w:val="22"/>
          <w:szCs w:val="22"/>
          <w:lang w:eastAsia="zh-CN"/>
        </w:rPr>
        <w:t xml:space="preserve">, RAN3 to discuss whether UE or </w:t>
      </w:r>
      <w:proofErr w:type="spellStart"/>
      <w:r w:rsidRPr="00384C60">
        <w:rPr>
          <w:b/>
          <w:sz w:val="22"/>
          <w:szCs w:val="22"/>
          <w:lang w:eastAsia="zh-CN"/>
        </w:rPr>
        <w:t>gNB</w:t>
      </w:r>
      <w:proofErr w:type="spellEnd"/>
      <w:r w:rsidRPr="00384C60">
        <w:rPr>
          <w:b/>
          <w:sz w:val="22"/>
          <w:szCs w:val="22"/>
          <w:lang w:eastAsia="zh-CN"/>
        </w:rPr>
        <w:t xml:space="preserve"> is responsible for speed scope check.</w:t>
      </w:r>
    </w:p>
    <w:p w14:paraId="598EB8B1" w14:textId="444415AD" w:rsidR="00427AC7"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3</w:t>
      </w:r>
      <w:r w:rsidRPr="00384C60">
        <w:rPr>
          <w:b/>
          <w:sz w:val="22"/>
          <w:szCs w:val="22"/>
          <w:lang w:eastAsia="zh-CN"/>
        </w:rPr>
        <w:t xml:space="preserve">, RAN3 send LS to RAN2 to </w:t>
      </w:r>
      <w:r w:rsidR="001A6D34">
        <w:rPr>
          <w:b/>
          <w:sz w:val="22"/>
          <w:szCs w:val="22"/>
          <w:lang w:eastAsia="zh-CN"/>
        </w:rPr>
        <w:t>ask</w:t>
      </w:r>
      <w:r w:rsidRPr="00384C60">
        <w:rPr>
          <w:b/>
          <w:sz w:val="22"/>
          <w:szCs w:val="22"/>
          <w:lang w:eastAsia="zh-CN"/>
        </w:rPr>
        <w:t xml:space="preserve"> the feasibility on speed scope</w:t>
      </w:r>
      <w:r w:rsidR="001A6D34">
        <w:rPr>
          <w:b/>
          <w:sz w:val="22"/>
          <w:szCs w:val="22"/>
          <w:lang w:eastAsia="zh-CN"/>
        </w:rPr>
        <w:t xml:space="preserve"> check</w:t>
      </w:r>
      <w:r w:rsidRPr="00384C60">
        <w:rPr>
          <w:b/>
          <w:sz w:val="22"/>
          <w:szCs w:val="22"/>
          <w:lang w:eastAsia="zh-CN"/>
        </w:rPr>
        <w:t xml:space="preserve">. </w:t>
      </w:r>
    </w:p>
    <w:bookmarkEnd w:id="1"/>
    <w:p w14:paraId="0D110258" w14:textId="77777777" w:rsidR="00CD4C7B" w:rsidRPr="006E13D1" w:rsidRDefault="00972FD7" w:rsidP="00CD4C7B">
      <w:pPr>
        <w:pStyle w:val="1"/>
      </w:pPr>
      <w:r>
        <w:t>3</w:t>
      </w:r>
      <w:r w:rsidR="00CD4C7B" w:rsidRPr="006E13D1">
        <w:tab/>
      </w:r>
      <w:r>
        <w:t>Conclusion</w:t>
      </w:r>
    </w:p>
    <w:p w14:paraId="6093981F" w14:textId="02640D10" w:rsidR="00CD4C7B" w:rsidRPr="00384C60" w:rsidRDefault="00755770" w:rsidP="00CD4C7B">
      <w:pPr>
        <w:rPr>
          <w:sz w:val="22"/>
        </w:rPr>
      </w:pPr>
      <w:r w:rsidRPr="00384C60">
        <w:rPr>
          <w:sz w:val="22"/>
        </w:rPr>
        <w:t>In this contribution, we had the following observations and proposals.</w:t>
      </w:r>
    </w:p>
    <w:p w14:paraId="3C623406" w14:textId="77777777" w:rsidR="001A6D34" w:rsidRPr="00384C60" w:rsidRDefault="001A6D34" w:rsidP="001A6D34">
      <w:pPr>
        <w:rPr>
          <w:b/>
          <w:sz w:val="22"/>
          <w:szCs w:val="22"/>
          <w:lang w:eastAsia="zh-CN"/>
        </w:rPr>
      </w:pPr>
      <w:r w:rsidRPr="00384C60">
        <w:rPr>
          <w:b/>
          <w:sz w:val="22"/>
          <w:szCs w:val="22"/>
          <w:lang w:eastAsia="zh-CN"/>
        </w:rPr>
        <w:t>Observation</w:t>
      </w:r>
      <w:r>
        <w:rPr>
          <w:b/>
          <w:sz w:val="22"/>
          <w:szCs w:val="22"/>
          <w:lang w:eastAsia="zh-CN"/>
        </w:rPr>
        <w:t xml:space="preserve"> 1</w:t>
      </w:r>
      <w:r w:rsidRPr="00384C60">
        <w:rPr>
          <w:b/>
          <w:sz w:val="22"/>
          <w:szCs w:val="22"/>
          <w:lang w:eastAsia="zh-CN"/>
        </w:rPr>
        <w:t xml:space="preserve">, </w:t>
      </w:r>
      <w:r w:rsidRPr="00384C60">
        <w:rPr>
          <w:b/>
          <w:sz w:val="22"/>
          <w:szCs w:val="22"/>
        </w:rPr>
        <w:t xml:space="preserve">use “HSDN wide indication” to replace the list of HSDN cells will </w:t>
      </w:r>
      <w:r w:rsidRPr="00384C60">
        <w:rPr>
          <w:b/>
          <w:sz w:val="22"/>
          <w:szCs w:val="22"/>
          <w:lang w:eastAsia="zh-CN"/>
        </w:rPr>
        <w:t xml:space="preserve">sacrifice the flexibility of collecting </w:t>
      </w:r>
      <w:proofErr w:type="spellStart"/>
      <w:r w:rsidRPr="00384C60">
        <w:rPr>
          <w:b/>
          <w:sz w:val="22"/>
          <w:szCs w:val="22"/>
          <w:lang w:eastAsia="zh-CN"/>
        </w:rPr>
        <w:t>QoE</w:t>
      </w:r>
      <w:proofErr w:type="spellEnd"/>
      <w:r w:rsidRPr="00384C60">
        <w:rPr>
          <w:b/>
          <w:sz w:val="22"/>
          <w:szCs w:val="22"/>
          <w:lang w:eastAsia="zh-CN"/>
        </w:rPr>
        <w:t xml:space="preserve"> in cell level.</w:t>
      </w:r>
    </w:p>
    <w:p w14:paraId="1E72AF56" w14:textId="77777777" w:rsidR="001A6D34" w:rsidRPr="00384C60" w:rsidRDefault="001A6D34" w:rsidP="001A6D34">
      <w:pPr>
        <w:rPr>
          <w:b/>
          <w:sz w:val="22"/>
          <w:szCs w:val="22"/>
          <w:lang w:eastAsia="zh-CN"/>
        </w:rPr>
      </w:pPr>
      <w:r w:rsidRPr="00384C60">
        <w:rPr>
          <w:b/>
          <w:sz w:val="22"/>
          <w:szCs w:val="22"/>
          <w:lang w:eastAsia="zh-CN"/>
        </w:rPr>
        <w:t>Observation</w:t>
      </w:r>
      <w:r>
        <w:rPr>
          <w:b/>
          <w:sz w:val="22"/>
          <w:szCs w:val="22"/>
          <w:lang w:eastAsia="zh-CN"/>
        </w:rPr>
        <w:t xml:space="preserve"> 2</w:t>
      </w:r>
      <w:r w:rsidRPr="00384C60">
        <w:rPr>
          <w:b/>
          <w:sz w:val="22"/>
          <w:szCs w:val="22"/>
          <w:lang w:eastAsia="zh-CN"/>
        </w:rPr>
        <w:t xml:space="preserve">, include HSDN indication in Area scope would not be helpful for QMC in high speed scenario since the </w:t>
      </w:r>
      <w:proofErr w:type="spellStart"/>
      <w:r w:rsidRPr="00384C60">
        <w:rPr>
          <w:b/>
          <w:sz w:val="22"/>
          <w:szCs w:val="22"/>
          <w:lang w:eastAsia="zh-CN"/>
        </w:rPr>
        <w:t>gNB</w:t>
      </w:r>
      <w:proofErr w:type="spellEnd"/>
      <w:r w:rsidRPr="00384C60">
        <w:rPr>
          <w:b/>
          <w:sz w:val="22"/>
          <w:szCs w:val="22"/>
          <w:lang w:eastAsia="zh-CN"/>
        </w:rPr>
        <w:t xml:space="preserve"> that checks the area scope has no idea of UE speed state.</w:t>
      </w:r>
    </w:p>
    <w:p w14:paraId="30BD31F6"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1</w:t>
      </w:r>
      <w:r w:rsidRPr="00384C60">
        <w:rPr>
          <w:b/>
          <w:sz w:val="22"/>
          <w:szCs w:val="22"/>
          <w:lang w:eastAsia="zh-CN"/>
        </w:rPr>
        <w:t xml:space="preserve">, RAN3 agree to introduce a new type of scope (i.e. speed scope) for QMC high speed scenario. </w:t>
      </w:r>
    </w:p>
    <w:p w14:paraId="65327B4A"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2</w:t>
      </w:r>
      <w:r w:rsidRPr="00384C60">
        <w:rPr>
          <w:b/>
          <w:sz w:val="22"/>
          <w:szCs w:val="22"/>
          <w:lang w:eastAsia="zh-CN"/>
        </w:rPr>
        <w:t xml:space="preserve">, RAN3 to discuss whether UE or </w:t>
      </w:r>
      <w:proofErr w:type="spellStart"/>
      <w:r w:rsidRPr="00384C60">
        <w:rPr>
          <w:b/>
          <w:sz w:val="22"/>
          <w:szCs w:val="22"/>
          <w:lang w:eastAsia="zh-CN"/>
        </w:rPr>
        <w:t>gNB</w:t>
      </w:r>
      <w:proofErr w:type="spellEnd"/>
      <w:r w:rsidRPr="00384C60">
        <w:rPr>
          <w:b/>
          <w:sz w:val="22"/>
          <w:szCs w:val="22"/>
          <w:lang w:eastAsia="zh-CN"/>
        </w:rPr>
        <w:t xml:space="preserve"> is responsible for speed scope check.</w:t>
      </w:r>
    </w:p>
    <w:p w14:paraId="5CB0A650"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3</w:t>
      </w:r>
      <w:r w:rsidRPr="00384C60">
        <w:rPr>
          <w:b/>
          <w:sz w:val="22"/>
          <w:szCs w:val="22"/>
          <w:lang w:eastAsia="zh-CN"/>
        </w:rPr>
        <w:t xml:space="preserve">, RAN3 send LS to RAN2 to </w:t>
      </w:r>
      <w:r>
        <w:rPr>
          <w:b/>
          <w:sz w:val="22"/>
          <w:szCs w:val="22"/>
          <w:lang w:eastAsia="zh-CN"/>
        </w:rPr>
        <w:t>ask</w:t>
      </w:r>
      <w:r w:rsidRPr="00384C60">
        <w:rPr>
          <w:b/>
          <w:sz w:val="22"/>
          <w:szCs w:val="22"/>
          <w:lang w:eastAsia="zh-CN"/>
        </w:rPr>
        <w:t xml:space="preserve"> the feasibility on speed scope</w:t>
      </w:r>
      <w:r>
        <w:rPr>
          <w:b/>
          <w:sz w:val="22"/>
          <w:szCs w:val="22"/>
          <w:lang w:eastAsia="zh-CN"/>
        </w:rPr>
        <w:t xml:space="preserve"> check</w:t>
      </w:r>
      <w:r w:rsidRPr="00384C60">
        <w:rPr>
          <w:b/>
          <w:sz w:val="22"/>
          <w:szCs w:val="22"/>
          <w:lang w:eastAsia="zh-CN"/>
        </w:rPr>
        <w:t xml:space="preserve">. </w:t>
      </w:r>
    </w:p>
    <w:p w14:paraId="193FD945" w14:textId="41EEED5D" w:rsidR="00CD4C7B" w:rsidRPr="006E13D1" w:rsidRDefault="00342065" w:rsidP="00CD4C7B">
      <w:pPr>
        <w:pStyle w:val="1"/>
      </w:pPr>
      <w:r>
        <w:t>4</w:t>
      </w:r>
      <w:r>
        <w:tab/>
      </w:r>
      <w:r w:rsidR="00CD4C7B" w:rsidRPr="006E13D1">
        <w:t>References</w:t>
      </w:r>
    </w:p>
    <w:p w14:paraId="6C272488" w14:textId="190699D8" w:rsidR="001A6D34" w:rsidRDefault="001A6D34" w:rsidP="00587958">
      <w:pPr>
        <w:overflowPunct w:val="0"/>
        <w:autoSpaceDE w:val="0"/>
        <w:autoSpaceDN w:val="0"/>
        <w:adjustRightInd w:val="0"/>
        <w:ind w:left="567" w:hanging="567"/>
        <w:textAlignment w:val="baseline"/>
      </w:pPr>
      <w:r>
        <w:t xml:space="preserve">[1] </w:t>
      </w:r>
      <w:r w:rsidRPr="001A6D34">
        <w:t>TS 38.304</w:t>
      </w:r>
      <w:r>
        <w:t xml:space="preserve">, </w:t>
      </w:r>
      <w:r w:rsidRPr="001A6D34">
        <w:t>"NR; User Equipment (UE) procedures in Idle mode and RRC Inactive state".</w:t>
      </w:r>
    </w:p>
    <w:p w14:paraId="0BA2BD6A" w14:textId="307D4648" w:rsidR="00080512" w:rsidRDefault="001A6D34" w:rsidP="00587958">
      <w:pPr>
        <w:overflowPunct w:val="0"/>
        <w:autoSpaceDE w:val="0"/>
        <w:autoSpaceDN w:val="0"/>
        <w:adjustRightInd w:val="0"/>
        <w:ind w:left="567" w:hanging="567"/>
        <w:textAlignment w:val="baseline"/>
      </w:pPr>
      <w:r>
        <w:t xml:space="preserve">[2] </w:t>
      </w:r>
      <w:r w:rsidRPr="001A6D34">
        <w:t>TS 38.331</w:t>
      </w:r>
      <w:r>
        <w:t xml:space="preserve">, </w:t>
      </w:r>
      <w:r w:rsidRPr="00425751">
        <w:t>"NR; Radio Resource Control (RRC); Protocol specification".</w:t>
      </w:r>
    </w:p>
    <w:p w14:paraId="50FE11C5" w14:textId="75F9F6DB" w:rsidR="001A6D34" w:rsidRPr="00CD4C7B" w:rsidRDefault="001A6D34" w:rsidP="00587958">
      <w:pPr>
        <w:overflowPunct w:val="0"/>
        <w:autoSpaceDE w:val="0"/>
        <w:autoSpaceDN w:val="0"/>
        <w:adjustRightInd w:val="0"/>
        <w:ind w:left="567" w:hanging="567"/>
        <w:textAlignment w:val="baseline"/>
      </w:pPr>
      <w:r>
        <w:t xml:space="preserve">[3] TS 38.306, </w:t>
      </w:r>
      <w:r w:rsidRPr="00425751">
        <w:t>"NR; User Equipment (UE) radio access capabilities".</w:t>
      </w:r>
    </w:p>
    <w:sectPr w:rsidR="001A6D3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4672B" w14:textId="77777777" w:rsidR="000D0240" w:rsidRDefault="000D0240">
      <w:r>
        <w:separator/>
      </w:r>
    </w:p>
  </w:endnote>
  <w:endnote w:type="continuationSeparator" w:id="0">
    <w:p w14:paraId="1A92DA9B" w14:textId="77777777" w:rsidR="000D0240" w:rsidRDefault="000D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4925F" w14:textId="77777777" w:rsidR="000D0240" w:rsidRDefault="000D0240">
      <w:r>
        <w:separator/>
      </w:r>
    </w:p>
  </w:footnote>
  <w:footnote w:type="continuationSeparator" w:id="0">
    <w:p w14:paraId="7C9D0ECF" w14:textId="77777777" w:rsidR="000D0240" w:rsidRDefault="000D0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5"/>
  </w:num>
  <w:num w:numId="6">
    <w:abstractNumId w:val="7"/>
  </w:num>
  <w:num w:numId="7">
    <w:abstractNumId w:val="12"/>
  </w:num>
  <w:num w:numId="8">
    <w:abstractNumId w:val="13"/>
  </w:num>
  <w:num w:numId="9">
    <w:abstractNumId w:val="8"/>
  </w:num>
  <w:num w:numId="10">
    <w:abstractNumId w:val="11"/>
  </w:num>
  <w:num w:numId="11">
    <w:abstractNumId w:val="5"/>
  </w:num>
  <w:num w:numId="12">
    <w:abstractNumId w:val="10"/>
  </w:num>
  <w:num w:numId="13">
    <w:abstractNumId w:val="9"/>
  </w:num>
  <w:num w:numId="14">
    <w:abstractNumId w:val="3"/>
  </w:num>
  <w:num w:numId="15">
    <w:abstractNumId w:val="2"/>
  </w:num>
  <w:num w:numId="16">
    <w:abstractNumId w:val="14"/>
  </w:num>
  <w:num w:numId="17">
    <w:abstractNumId w:val="4"/>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D1F"/>
    <w:rsid w:val="0003263B"/>
    <w:rsid w:val="00033397"/>
    <w:rsid w:val="000342C7"/>
    <w:rsid w:val="00040095"/>
    <w:rsid w:val="00045D5B"/>
    <w:rsid w:val="0005563E"/>
    <w:rsid w:val="00080512"/>
    <w:rsid w:val="00083F0D"/>
    <w:rsid w:val="000904E9"/>
    <w:rsid w:val="00096CCA"/>
    <w:rsid w:val="000B7BCF"/>
    <w:rsid w:val="000C1506"/>
    <w:rsid w:val="000C556D"/>
    <w:rsid w:val="000D0240"/>
    <w:rsid w:val="000D376D"/>
    <w:rsid w:val="000D58AB"/>
    <w:rsid w:val="000E383B"/>
    <w:rsid w:val="000F1DB2"/>
    <w:rsid w:val="000F693F"/>
    <w:rsid w:val="001075B7"/>
    <w:rsid w:val="001265F8"/>
    <w:rsid w:val="0013262A"/>
    <w:rsid w:val="001370F2"/>
    <w:rsid w:val="001475FB"/>
    <w:rsid w:val="001549DD"/>
    <w:rsid w:val="00155FF2"/>
    <w:rsid w:val="00163ADA"/>
    <w:rsid w:val="0017527C"/>
    <w:rsid w:val="00190CAC"/>
    <w:rsid w:val="001914C1"/>
    <w:rsid w:val="00194CD0"/>
    <w:rsid w:val="0019788D"/>
    <w:rsid w:val="001A6D34"/>
    <w:rsid w:val="001B08B3"/>
    <w:rsid w:val="001B5DF8"/>
    <w:rsid w:val="001C0D91"/>
    <w:rsid w:val="001C4281"/>
    <w:rsid w:val="001D0D3F"/>
    <w:rsid w:val="001E39D1"/>
    <w:rsid w:val="001E6294"/>
    <w:rsid w:val="001E6D6D"/>
    <w:rsid w:val="001F168B"/>
    <w:rsid w:val="001F70B7"/>
    <w:rsid w:val="00210441"/>
    <w:rsid w:val="00225F6D"/>
    <w:rsid w:val="0022606D"/>
    <w:rsid w:val="002305DD"/>
    <w:rsid w:val="00232F08"/>
    <w:rsid w:val="00243BC7"/>
    <w:rsid w:val="00250D89"/>
    <w:rsid w:val="002546FB"/>
    <w:rsid w:val="002623FC"/>
    <w:rsid w:val="00264EA0"/>
    <w:rsid w:val="002747EC"/>
    <w:rsid w:val="002855BF"/>
    <w:rsid w:val="002868BC"/>
    <w:rsid w:val="002953B2"/>
    <w:rsid w:val="002E1692"/>
    <w:rsid w:val="002F0D22"/>
    <w:rsid w:val="002F5942"/>
    <w:rsid w:val="003048A9"/>
    <w:rsid w:val="00307733"/>
    <w:rsid w:val="003172DC"/>
    <w:rsid w:val="003238E8"/>
    <w:rsid w:val="00326069"/>
    <w:rsid w:val="00332964"/>
    <w:rsid w:val="00342065"/>
    <w:rsid w:val="003454FC"/>
    <w:rsid w:val="003532DA"/>
    <w:rsid w:val="00353B12"/>
    <w:rsid w:val="0035462D"/>
    <w:rsid w:val="00363177"/>
    <w:rsid w:val="003702F7"/>
    <w:rsid w:val="00370F20"/>
    <w:rsid w:val="003717A7"/>
    <w:rsid w:val="00384C60"/>
    <w:rsid w:val="00385F81"/>
    <w:rsid w:val="00386801"/>
    <w:rsid w:val="003B3FB3"/>
    <w:rsid w:val="003B5FD6"/>
    <w:rsid w:val="003C4E37"/>
    <w:rsid w:val="003E1194"/>
    <w:rsid w:val="003E16BE"/>
    <w:rsid w:val="003E7223"/>
    <w:rsid w:val="00401855"/>
    <w:rsid w:val="00401F8C"/>
    <w:rsid w:val="00406760"/>
    <w:rsid w:val="00427AC7"/>
    <w:rsid w:val="00431A24"/>
    <w:rsid w:val="00455983"/>
    <w:rsid w:val="00464695"/>
    <w:rsid w:val="0047092A"/>
    <w:rsid w:val="004A0AA2"/>
    <w:rsid w:val="004C53DC"/>
    <w:rsid w:val="004C5539"/>
    <w:rsid w:val="004D3578"/>
    <w:rsid w:val="004D380D"/>
    <w:rsid w:val="004D3F58"/>
    <w:rsid w:val="004D5E47"/>
    <w:rsid w:val="004E0173"/>
    <w:rsid w:val="004E213A"/>
    <w:rsid w:val="004E21FC"/>
    <w:rsid w:val="004E6C01"/>
    <w:rsid w:val="004F493F"/>
    <w:rsid w:val="00503171"/>
    <w:rsid w:val="005153FE"/>
    <w:rsid w:val="005240A4"/>
    <w:rsid w:val="00531C12"/>
    <w:rsid w:val="00534DA0"/>
    <w:rsid w:val="005361A0"/>
    <w:rsid w:val="00540B31"/>
    <w:rsid w:val="00543E6C"/>
    <w:rsid w:val="00544635"/>
    <w:rsid w:val="00552076"/>
    <w:rsid w:val="00557E1D"/>
    <w:rsid w:val="005626DD"/>
    <w:rsid w:val="00565087"/>
    <w:rsid w:val="0056573F"/>
    <w:rsid w:val="00565BE9"/>
    <w:rsid w:val="00571CE2"/>
    <w:rsid w:val="00571F55"/>
    <w:rsid w:val="0057579F"/>
    <w:rsid w:val="00587958"/>
    <w:rsid w:val="005A4971"/>
    <w:rsid w:val="005B1232"/>
    <w:rsid w:val="005B2EEF"/>
    <w:rsid w:val="005D0F3B"/>
    <w:rsid w:val="005D4274"/>
    <w:rsid w:val="005D5A45"/>
    <w:rsid w:val="005E3C56"/>
    <w:rsid w:val="005F1BD4"/>
    <w:rsid w:val="00605E3E"/>
    <w:rsid w:val="00606DA9"/>
    <w:rsid w:val="00611566"/>
    <w:rsid w:val="00611D47"/>
    <w:rsid w:val="006327AD"/>
    <w:rsid w:val="006538D4"/>
    <w:rsid w:val="00656E1E"/>
    <w:rsid w:val="006604E4"/>
    <w:rsid w:val="0067782C"/>
    <w:rsid w:val="00697E26"/>
    <w:rsid w:val="006A256E"/>
    <w:rsid w:val="006B36A5"/>
    <w:rsid w:val="006B3E5D"/>
    <w:rsid w:val="006B75FF"/>
    <w:rsid w:val="006C4235"/>
    <w:rsid w:val="006C54B5"/>
    <w:rsid w:val="006D1E24"/>
    <w:rsid w:val="006D269F"/>
    <w:rsid w:val="006F70C2"/>
    <w:rsid w:val="0070147B"/>
    <w:rsid w:val="00702BDF"/>
    <w:rsid w:val="00703F67"/>
    <w:rsid w:val="007304F5"/>
    <w:rsid w:val="00734A5B"/>
    <w:rsid w:val="00741EC5"/>
    <w:rsid w:val="00743525"/>
    <w:rsid w:val="00744E76"/>
    <w:rsid w:val="007476DB"/>
    <w:rsid w:val="007528F5"/>
    <w:rsid w:val="00755770"/>
    <w:rsid w:val="00756B13"/>
    <w:rsid w:val="00757D40"/>
    <w:rsid w:val="00767CDA"/>
    <w:rsid w:val="0077054F"/>
    <w:rsid w:val="00774846"/>
    <w:rsid w:val="00776271"/>
    <w:rsid w:val="00781F0F"/>
    <w:rsid w:val="0078727C"/>
    <w:rsid w:val="00797225"/>
    <w:rsid w:val="00797D4B"/>
    <w:rsid w:val="007C095F"/>
    <w:rsid w:val="007C36EF"/>
    <w:rsid w:val="007D5902"/>
    <w:rsid w:val="007E1F12"/>
    <w:rsid w:val="007E4746"/>
    <w:rsid w:val="007F2676"/>
    <w:rsid w:val="007F3F5F"/>
    <w:rsid w:val="00800860"/>
    <w:rsid w:val="00802106"/>
    <w:rsid w:val="008028A4"/>
    <w:rsid w:val="00806520"/>
    <w:rsid w:val="008223CA"/>
    <w:rsid w:val="00830106"/>
    <w:rsid w:val="00840916"/>
    <w:rsid w:val="008415DA"/>
    <w:rsid w:val="00853EDD"/>
    <w:rsid w:val="008604EE"/>
    <w:rsid w:val="00865B05"/>
    <w:rsid w:val="0087401D"/>
    <w:rsid w:val="008768CA"/>
    <w:rsid w:val="00880559"/>
    <w:rsid w:val="008975A9"/>
    <w:rsid w:val="008A4A6A"/>
    <w:rsid w:val="008A79DE"/>
    <w:rsid w:val="008C2835"/>
    <w:rsid w:val="008C490B"/>
    <w:rsid w:val="008C62FA"/>
    <w:rsid w:val="008C6D68"/>
    <w:rsid w:val="008D34ED"/>
    <w:rsid w:val="008E0F31"/>
    <w:rsid w:val="0090271F"/>
    <w:rsid w:val="00903D8C"/>
    <w:rsid w:val="00904D26"/>
    <w:rsid w:val="009149D8"/>
    <w:rsid w:val="00917051"/>
    <w:rsid w:val="009321BB"/>
    <w:rsid w:val="00942EC2"/>
    <w:rsid w:val="00952D8F"/>
    <w:rsid w:val="00954BCB"/>
    <w:rsid w:val="00961B32"/>
    <w:rsid w:val="00971683"/>
    <w:rsid w:val="00972FD7"/>
    <w:rsid w:val="00974BB0"/>
    <w:rsid w:val="00997D5B"/>
    <w:rsid w:val="009A6E4F"/>
    <w:rsid w:val="009B36EB"/>
    <w:rsid w:val="009B4F59"/>
    <w:rsid w:val="009C1314"/>
    <w:rsid w:val="009C4D5C"/>
    <w:rsid w:val="009D0A28"/>
    <w:rsid w:val="009D20A0"/>
    <w:rsid w:val="009E17E2"/>
    <w:rsid w:val="009F3B54"/>
    <w:rsid w:val="009F75AB"/>
    <w:rsid w:val="009F7E6E"/>
    <w:rsid w:val="00A10F02"/>
    <w:rsid w:val="00A2199E"/>
    <w:rsid w:val="00A4298B"/>
    <w:rsid w:val="00A53724"/>
    <w:rsid w:val="00A61FEF"/>
    <w:rsid w:val="00A64C87"/>
    <w:rsid w:val="00A80B02"/>
    <w:rsid w:val="00A82346"/>
    <w:rsid w:val="00A8361A"/>
    <w:rsid w:val="00A9671C"/>
    <w:rsid w:val="00AB6AAB"/>
    <w:rsid w:val="00AD4BCF"/>
    <w:rsid w:val="00AE7FEC"/>
    <w:rsid w:val="00AF4A8E"/>
    <w:rsid w:val="00AF78D5"/>
    <w:rsid w:val="00B03810"/>
    <w:rsid w:val="00B1063A"/>
    <w:rsid w:val="00B15449"/>
    <w:rsid w:val="00B4119B"/>
    <w:rsid w:val="00B41851"/>
    <w:rsid w:val="00B42422"/>
    <w:rsid w:val="00B503D9"/>
    <w:rsid w:val="00B6745D"/>
    <w:rsid w:val="00B936A4"/>
    <w:rsid w:val="00B9781E"/>
    <w:rsid w:val="00BA0310"/>
    <w:rsid w:val="00BA10CA"/>
    <w:rsid w:val="00BA6755"/>
    <w:rsid w:val="00BA7BA8"/>
    <w:rsid w:val="00BB59FF"/>
    <w:rsid w:val="00BD5F05"/>
    <w:rsid w:val="00BE7F3D"/>
    <w:rsid w:val="00BF79F1"/>
    <w:rsid w:val="00C03035"/>
    <w:rsid w:val="00C275BC"/>
    <w:rsid w:val="00C33079"/>
    <w:rsid w:val="00C365F1"/>
    <w:rsid w:val="00C43B31"/>
    <w:rsid w:val="00C50536"/>
    <w:rsid w:val="00C55EB7"/>
    <w:rsid w:val="00C805B8"/>
    <w:rsid w:val="00C85FFB"/>
    <w:rsid w:val="00C866E9"/>
    <w:rsid w:val="00CA276C"/>
    <w:rsid w:val="00CA3B2C"/>
    <w:rsid w:val="00CA3D0C"/>
    <w:rsid w:val="00CB6651"/>
    <w:rsid w:val="00CB6887"/>
    <w:rsid w:val="00CC64B4"/>
    <w:rsid w:val="00CD41C2"/>
    <w:rsid w:val="00CD4C7B"/>
    <w:rsid w:val="00D11B38"/>
    <w:rsid w:val="00D22038"/>
    <w:rsid w:val="00D23014"/>
    <w:rsid w:val="00D45717"/>
    <w:rsid w:val="00D45D1F"/>
    <w:rsid w:val="00D470EA"/>
    <w:rsid w:val="00D563CF"/>
    <w:rsid w:val="00D738D6"/>
    <w:rsid w:val="00D764AE"/>
    <w:rsid w:val="00D80795"/>
    <w:rsid w:val="00D80BE8"/>
    <w:rsid w:val="00D82770"/>
    <w:rsid w:val="00D862C5"/>
    <w:rsid w:val="00D87E00"/>
    <w:rsid w:val="00D908B4"/>
    <w:rsid w:val="00D90D48"/>
    <w:rsid w:val="00D9134D"/>
    <w:rsid w:val="00D97CD9"/>
    <w:rsid w:val="00DA132F"/>
    <w:rsid w:val="00DA1CA9"/>
    <w:rsid w:val="00DA5329"/>
    <w:rsid w:val="00DA6945"/>
    <w:rsid w:val="00DA7A03"/>
    <w:rsid w:val="00DB1818"/>
    <w:rsid w:val="00DB6F28"/>
    <w:rsid w:val="00DC1445"/>
    <w:rsid w:val="00DC309B"/>
    <w:rsid w:val="00DC4DA2"/>
    <w:rsid w:val="00DE1406"/>
    <w:rsid w:val="00E0084C"/>
    <w:rsid w:val="00E07838"/>
    <w:rsid w:val="00E22E2A"/>
    <w:rsid w:val="00E305A4"/>
    <w:rsid w:val="00E340BC"/>
    <w:rsid w:val="00E45906"/>
    <w:rsid w:val="00E46B17"/>
    <w:rsid w:val="00E477A3"/>
    <w:rsid w:val="00E51135"/>
    <w:rsid w:val="00E51F8B"/>
    <w:rsid w:val="00E62835"/>
    <w:rsid w:val="00E77645"/>
    <w:rsid w:val="00E852FF"/>
    <w:rsid w:val="00E90ABE"/>
    <w:rsid w:val="00EA1D56"/>
    <w:rsid w:val="00EA22F8"/>
    <w:rsid w:val="00EC4A25"/>
    <w:rsid w:val="00ED06A6"/>
    <w:rsid w:val="00ED0D91"/>
    <w:rsid w:val="00ED1751"/>
    <w:rsid w:val="00ED7F72"/>
    <w:rsid w:val="00EE022B"/>
    <w:rsid w:val="00EE0A1E"/>
    <w:rsid w:val="00EF2DFA"/>
    <w:rsid w:val="00F01BC8"/>
    <w:rsid w:val="00F025A2"/>
    <w:rsid w:val="00F0718F"/>
    <w:rsid w:val="00F2026E"/>
    <w:rsid w:val="00F2210A"/>
    <w:rsid w:val="00F35C58"/>
    <w:rsid w:val="00F3761C"/>
    <w:rsid w:val="00F37743"/>
    <w:rsid w:val="00F54114"/>
    <w:rsid w:val="00F54A3D"/>
    <w:rsid w:val="00F653B8"/>
    <w:rsid w:val="00F71331"/>
    <w:rsid w:val="00F76F8F"/>
    <w:rsid w:val="00FA1266"/>
    <w:rsid w:val="00FA5EEC"/>
    <w:rsid w:val="00FB2BEA"/>
    <w:rsid w:val="00FB3EE4"/>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027D1F"/>
    <w:rPr>
      <w:rFonts w:ascii="Arial" w:eastAsia="MS Mincho" w:hAnsi="Arial"/>
      <w:lang w:val="en-GB" w:eastAsia="en-US"/>
    </w:rPr>
  </w:style>
  <w:style w:type="paragraph" w:customStyle="1" w:styleId="10">
    <w:name w:val="正文1"/>
    <w:rsid w:val="006D269F"/>
    <w:pPr>
      <w:jc w:val="both"/>
    </w:pPr>
    <w:rPr>
      <w:rFonts w:ascii="Calibri"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95554466">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1C3D7-77F1-4B38-910B-032EDC2B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3260</Characters>
  <Application>Microsoft Office Word</Application>
  <DocSecurity>0</DocSecurity>
  <Lines>27</Lines>
  <Paragraphs>7</Paragraphs>
  <ScaleCrop>false</ScaleCrop>
  <Company/>
  <LinksUpToDate>false</LinksUpToDate>
  <CharactersWithSpaces>3824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2023-04-07T04:56:00Z</dcterms:created>
  <dcterms:modified xsi:type="dcterms:W3CDTF">2023-04-07T05:44:00Z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